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A8" w:rsidRDefault="006925A8" w:rsidP="00316793">
      <w:pPr>
        <w:spacing w:after="0"/>
        <w:rPr>
          <w:i/>
          <w:sz w:val="18"/>
          <w:szCs w:val="18"/>
        </w:rPr>
      </w:pPr>
    </w:p>
    <w:p w:rsidR="00747D89" w:rsidRPr="006925A8" w:rsidRDefault="00397E69" w:rsidP="006925A8">
      <w:pPr>
        <w:spacing w:after="0"/>
        <w:ind w:left="-567" w:right="-568"/>
        <w:jc w:val="center"/>
        <w:rPr>
          <w:rStyle w:val="Collegamentoipertestuale"/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6802FD7D" wp14:editId="55C3A0DD">
            <wp:extent cx="1740090" cy="51726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14" cy="5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B8F" w:rsidRPr="006925A8">
        <w:rPr>
          <w:i/>
          <w:sz w:val="18"/>
          <w:szCs w:val="18"/>
        </w:rPr>
        <w:t>Relazioni con i Media – Tel. 02/8515.52</w:t>
      </w:r>
      <w:r w:rsidR="00F141F8">
        <w:rPr>
          <w:i/>
          <w:sz w:val="18"/>
          <w:szCs w:val="18"/>
        </w:rPr>
        <w:t>24</w:t>
      </w:r>
      <w:r w:rsidR="00F74B8F" w:rsidRPr="006925A8">
        <w:rPr>
          <w:i/>
          <w:sz w:val="18"/>
          <w:szCs w:val="18"/>
        </w:rPr>
        <w:t>/52</w:t>
      </w:r>
      <w:r w:rsidR="00F141F8">
        <w:rPr>
          <w:i/>
          <w:sz w:val="18"/>
          <w:szCs w:val="18"/>
        </w:rPr>
        <w:t>98</w:t>
      </w:r>
      <w:r w:rsidR="00F74B8F" w:rsidRPr="006925A8">
        <w:rPr>
          <w:i/>
          <w:sz w:val="18"/>
          <w:szCs w:val="18"/>
        </w:rPr>
        <w:t xml:space="preserve">- 335 6413321. Comunicati </w:t>
      </w:r>
      <w:hyperlink r:id="rId8" w:history="1">
        <w:r w:rsidR="00F74B8F" w:rsidRPr="006925A8">
          <w:rPr>
            <w:rStyle w:val="Collegamentoipertestuale"/>
            <w:i/>
            <w:sz w:val="18"/>
            <w:szCs w:val="18"/>
          </w:rPr>
          <w:t>www.mi.camcom.it</w:t>
        </w:r>
      </w:hyperlink>
    </w:p>
    <w:p w:rsidR="00316793" w:rsidRPr="006925A8" w:rsidRDefault="00316793" w:rsidP="00316793">
      <w:pPr>
        <w:spacing w:after="0"/>
        <w:rPr>
          <w:i/>
          <w:sz w:val="24"/>
          <w:szCs w:val="24"/>
        </w:rPr>
      </w:pPr>
    </w:p>
    <w:p w:rsidR="00886837" w:rsidRPr="00FD6521" w:rsidRDefault="00002779" w:rsidP="0088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</w:pPr>
      <w:r w:rsidRPr="00FD65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>L’i</w:t>
      </w:r>
      <w:r w:rsidR="00BC51A9" w:rsidRPr="00FD65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 xml:space="preserve">mpresa teatrale a Budapest, </w:t>
      </w:r>
      <w:r w:rsidRPr="00FD65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 xml:space="preserve">la </w:t>
      </w:r>
      <w:r w:rsidR="00BC51A9" w:rsidRPr="00FD65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 xml:space="preserve">giornalista </w:t>
      </w:r>
      <w:bookmarkStart w:id="0" w:name="_GoBack"/>
      <w:bookmarkEnd w:id="0"/>
      <w:r w:rsidR="00BC51A9" w:rsidRPr="00FD65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 xml:space="preserve">a Praga, </w:t>
      </w:r>
      <w:r w:rsidRPr="00FD65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>l’</w:t>
      </w:r>
      <w:r w:rsidR="00AB59E1" w:rsidRPr="00FD65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 xml:space="preserve">esperto agricolo in </w:t>
      </w:r>
      <w:r w:rsidR="00BC51A9" w:rsidRPr="00FD65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 xml:space="preserve">Olanda </w:t>
      </w:r>
    </w:p>
    <w:p w:rsidR="001B30FD" w:rsidRPr="00FD6521" w:rsidRDefault="007C2668" w:rsidP="00124543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</w:pPr>
      <w:r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>Erasmus per Giovani Imprenditori: t</w:t>
      </w:r>
      <w:r w:rsidR="00F9612E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re mesi </w:t>
      </w:r>
      <w:r w:rsidR="00A04712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con rimborso </w:t>
      </w:r>
      <w:r w:rsidR="002563F3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in un’impresa </w:t>
      </w:r>
      <w:r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>straniera</w:t>
      </w:r>
      <w:r w:rsidR="001B30FD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 </w:t>
      </w:r>
    </w:p>
    <w:p w:rsidR="005D7EFF" w:rsidRPr="00FD6521" w:rsidRDefault="00F978DC" w:rsidP="00124543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</w:pPr>
      <w:r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18 gli ultimi aiutati da </w:t>
      </w:r>
      <w:r w:rsidR="005D7EFF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>Formaper</w:t>
      </w:r>
      <w:r w:rsidR="002B760B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>-Camera di commercio</w:t>
      </w:r>
      <w:r w:rsidR="005D7EFF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 </w:t>
      </w:r>
      <w:r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che fa </w:t>
      </w:r>
      <w:r w:rsidR="00545276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il </w:t>
      </w:r>
      <w:proofErr w:type="spellStart"/>
      <w:r w:rsidR="00545276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>matching</w:t>
      </w:r>
      <w:proofErr w:type="spellEnd"/>
      <w:r w:rsidR="00545276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 </w:t>
      </w:r>
      <w:r w:rsidR="005D7EFF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tra </w:t>
      </w:r>
      <w:r w:rsidR="00A04712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giovani e/aspiranti </w:t>
      </w:r>
      <w:r w:rsidR="005D7EFF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>imprenditori e aziende</w:t>
      </w:r>
      <w:r w:rsidR="002A6475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 xml:space="preserve"> </w:t>
      </w:r>
      <w:r w:rsidR="00AF5951" w:rsidRPr="00FD6521">
        <w:rPr>
          <w:rFonts w:ascii="Times New Roman" w:eastAsia="Times New Roman" w:hAnsi="Times New Roman" w:cs="Times New Roman"/>
          <w:bCs/>
          <w:i/>
          <w:sz w:val="32"/>
          <w:szCs w:val="32"/>
          <w:lang w:eastAsia="it-IT"/>
        </w:rPr>
        <w:t>straniere</w:t>
      </w:r>
    </w:p>
    <w:p w:rsidR="00FD6521" w:rsidRPr="00FD6521" w:rsidRDefault="00FD6521" w:rsidP="00124543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</w:pPr>
      <w:r w:rsidRPr="00FD652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it-IT"/>
        </w:rPr>
        <w:t>+27% i laureati che per primo lavoro vanno all’estero</w:t>
      </w:r>
    </w:p>
    <w:p w:rsidR="005D7EFF" w:rsidRPr="00FD6521" w:rsidRDefault="005D7EFF" w:rsidP="0069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C67073" w:rsidRPr="00FD6521" w:rsidRDefault="00306D59" w:rsidP="00C67073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D652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Milano, </w:t>
      </w:r>
      <w:r w:rsidR="00FD6521" w:rsidRPr="00FD652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1 giugno</w:t>
      </w:r>
      <w:r w:rsidR="00C64F9A" w:rsidRPr="00FD652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2016</w:t>
      </w:r>
      <w:r w:rsidRPr="00FD652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.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F978DC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C’è chi a Milano </w:t>
      </w:r>
      <w:r w:rsidR="00A04712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voleva creare </w:t>
      </w:r>
      <w:r w:rsidR="00F978DC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una realtà teatrale e poi ha deciso di andare a Budapest per vedere come veniva gestita un’impresa sociale. C’è la giornalista che per sviluppare il proprio business fotografico di reportage di viaggio, è andata a Praga. Oppure l’esperta in scambi internazionali e finanziamenti che vuole aiutare le PMI e da Bergamo va in Slovacchia. C’è anche l’esperto in </w:t>
      </w:r>
      <w:r w:rsidR="00C67073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proofErr w:type="spellStart"/>
      <w:r w:rsidR="00F978DC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permac</w:t>
      </w:r>
      <w:r w:rsidR="00A04712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 w:rsidR="00F978DC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ltura</w:t>
      </w:r>
      <w:proofErr w:type="spellEnd"/>
      <w:r w:rsidR="00C67073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F978DC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in Olanda approfondisce questo nuovo modo di fare agricoltura in grado di ridisegnare completamente il mercato dei prodotti alimentari. </w:t>
      </w:r>
    </w:p>
    <w:p w:rsidR="00C67073" w:rsidRPr="00FD6521" w:rsidRDefault="00C67073" w:rsidP="00C67073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Sono alcuni degli esempi tra gli imprenditori o aspiranti, provenienti da tutta Italia, che grazie al </w:t>
      </w:r>
      <w:r w:rsidR="00A04712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programma 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“Erasmus per Giovani Imprenditori” hanno trascorso </w:t>
      </w:r>
      <w:r w:rsidR="00A04712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circa 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tre mesi all’estero finanziato, </w:t>
      </w:r>
      <w:r w:rsidR="00A04712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dalla 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Commissione Europea, attraverso</w:t>
      </w:r>
      <w:r w:rsidR="00A04712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l’intermediazione di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Formaper, azienda speciale della Camera di </w:t>
      </w:r>
      <w:r w:rsidR="00A04712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ommercio di Milano.</w:t>
      </w:r>
    </w:p>
    <w:p w:rsidR="00C67073" w:rsidRPr="00FD6521" w:rsidRDefault="00C67073" w:rsidP="006925A8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E0A41" w:rsidRPr="00FD6521" w:rsidRDefault="00C67073" w:rsidP="006925A8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Voglia di estero, 1</w:t>
      </w:r>
      <w:r w:rsidR="007C2668"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laureato lombardo su 40 </w:t>
      </w:r>
      <w:r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fa una esperienza internazionale dopo la laurea </w:t>
      </w:r>
      <w:r w:rsidR="007C266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(2,5%</w:t>
      </w:r>
      <w:r w:rsidR="00645190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sul totale dei laureati</w:t>
      </w:r>
      <w:r w:rsidR="00EC597D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) </w:t>
      </w:r>
      <w:r w:rsidR="007C266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secondo dati del Rapporto Specula, realizzato da Formaper, azienda speciale della Camera di commercio di Milano</w:t>
      </w:r>
      <w:r w:rsidR="007C2668" w:rsidRPr="00FD6521">
        <w:rPr>
          <w:rFonts w:ascii="Times New Roman" w:hAnsi="Times New Roman" w:cs="Times New Roman"/>
          <w:sz w:val="24"/>
          <w:szCs w:val="24"/>
        </w:rPr>
        <w:t xml:space="preserve"> </w:t>
      </w:r>
      <w:r w:rsidR="007C266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grazie al contributo di Regione Lombardia, </w:t>
      </w:r>
      <w:proofErr w:type="spellStart"/>
      <w:r w:rsidR="007C266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Unioncamere</w:t>
      </w:r>
      <w:proofErr w:type="spellEnd"/>
      <w:r w:rsidR="007C266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Lombardia e Camera di commercio di Milano in partnership con università lombarde</w:t>
      </w:r>
      <w:r w:rsidR="008657AD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Un trend tendenzialmente in crescita </w:t>
      </w:r>
      <w:r w:rsidR="004027EE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27% in tre anni, </w:t>
      </w:r>
      <w:r w:rsidR="008657AD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dato non solo dalle maggiori occasioni di lavoro ma anche </w:t>
      </w:r>
      <w:r w:rsidR="008F1E1C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dagli stipendi</w:t>
      </w:r>
      <w:r w:rsidR="008657AD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più a</w:t>
      </w:r>
      <w:r w:rsidR="008F1E1C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lti</w:t>
      </w:r>
      <w:r w:rsidR="007C266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F978DC" w:rsidRPr="00FD6521" w:rsidRDefault="00F978DC" w:rsidP="006925A8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1B6467" w:rsidRPr="00FD6521" w:rsidRDefault="007C2668" w:rsidP="003B7D40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</w:t>
      </w:r>
      <w:r w:rsidR="00A04712"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gramma</w:t>
      </w:r>
      <w:r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“Erasmus per Giovani Imprenditori”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Formaper, </w:t>
      </w:r>
      <w:r w:rsidR="001B6A73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azienda speciale della Camera di commercio di Milano, </w:t>
      </w:r>
      <w:r w:rsidR="001B6A73" w:rsidRPr="00FD6521">
        <w:rPr>
          <w:rFonts w:ascii="Times New Roman" w:eastAsia="Times New Roman" w:hAnsi="Times New Roman" w:cs="Times New Roman"/>
          <w:bCs/>
          <w:strike/>
          <w:sz w:val="24"/>
          <w:szCs w:val="24"/>
          <w:lang w:eastAsia="it-IT"/>
        </w:rPr>
        <w:t>è</w:t>
      </w:r>
      <w:r w:rsidR="001B6A73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capofila del progetto “</w:t>
      </w:r>
      <w:proofErr w:type="spellStart"/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Boosting</w:t>
      </w:r>
      <w:proofErr w:type="spellEnd"/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for </w:t>
      </w:r>
      <w:proofErr w:type="spellStart"/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young</w:t>
      </w:r>
      <w:proofErr w:type="spellEnd"/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entrepreneurs</w:t>
      </w:r>
      <w:proofErr w:type="spellEnd"/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” (BYE-8), </w:t>
      </w:r>
      <w:r w:rsidR="001B6A73" w:rsidRPr="00FD6521">
        <w:rPr>
          <w:rFonts w:ascii="Times New Roman" w:eastAsia="Times New Roman" w:hAnsi="Times New Roman" w:cs="Times New Roman"/>
          <w:bCs/>
          <w:strike/>
          <w:sz w:val="24"/>
          <w:szCs w:val="24"/>
          <w:lang w:eastAsia="it-IT"/>
        </w:rPr>
        <w:t>e</w:t>
      </w:r>
      <w:r w:rsidR="001B6A73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coordina un consorzio composto da 11 </w:t>
      </w:r>
      <w:proofErr w:type="spellStart"/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partners</w:t>
      </w:r>
      <w:proofErr w:type="spellEnd"/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seleziona le candidature e gestisce gli abbinamenti tra giovani </w:t>
      </w:r>
      <w:r w:rsidR="00A04712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e/</w:t>
      </w:r>
      <w:r w:rsidR="00745B28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 aspiranti imprenditori ed aziende ospitanti con esperienza consolidata nel settore di interesse</w:t>
      </w:r>
      <w:r w:rsidR="007936E0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6C12D9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informazioni </w:t>
      </w:r>
      <w:hyperlink r:id="rId9" w:history="1">
        <w:r w:rsidR="006C12D9" w:rsidRPr="00FD6521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t-IT"/>
          </w:rPr>
          <w:t>www.formaper.it</w:t>
        </w:r>
      </w:hyperlink>
      <w:r w:rsidR="006C12D9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</w:t>
      </w:r>
      <w:hyperlink r:id="rId10" w:history="1">
        <w:r w:rsidR="006C12D9" w:rsidRPr="00FD6521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t-IT"/>
          </w:rPr>
          <w:t>www.erasmus-entrepreneurs.eu</w:t>
        </w:r>
      </w:hyperlink>
      <w:r w:rsidR="006C12D9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1B6A73" w:rsidRPr="00FD6521" w:rsidRDefault="001B6A73" w:rsidP="003B7D40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73365" w:rsidRPr="00FD6521" w:rsidRDefault="009970F6" w:rsidP="003B7D40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</w:t>
      </w:r>
      <w:r w:rsidR="00805AC9"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</w:t>
      </w:r>
      <w:r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giovani aspiranti e/o neo imprenditori che vogliono a</w:t>
      </w:r>
      <w:r w:rsidR="00FA258C"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ndare all’estero</w:t>
      </w:r>
      <w:r w:rsidR="00805AC9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FA258C"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7936E0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Formaper </w:t>
      </w:r>
      <w:r w:rsidR="00F73365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gesti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sce</w:t>
      </w:r>
      <w:r w:rsidR="00F73365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le candidature per il </w:t>
      </w:r>
      <w:proofErr w:type="spellStart"/>
      <w:r w:rsidR="00F73365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matching</w:t>
      </w:r>
      <w:proofErr w:type="spellEnd"/>
      <w:r w:rsidR="00F73365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tra un giovane imprenditore - o aspirante - ed un'azienda osp</w:t>
      </w:r>
      <w:r w:rsidR="00545276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itante. Il soggiorno all'estero</w:t>
      </w:r>
      <w:r w:rsidR="00F73365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può durare fino a 3 mesi. </w:t>
      </w:r>
      <w:r w:rsidR="006C12D9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programma europeo offre la possibilità di lavorare a fianco di un imprenditore estero oppure affiancarsi ai titolari di un altro Paese partecipante al programma e creare nuovi contatti internazionali. </w:t>
      </w:r>
    </w:p>
    <w:p w:rsidR="001B6A73" w:rsidRPr="00FD6521" w:rsidRDefault="001B6A73" w:rsidP="00745B28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45B28" w:rsidRPr="00FD6521" w:rsidRDefault="00745B28" w:rsidP="00745B28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le imprese che vogliono accogliere giovani</w:t>
      </w:r>
      <w:r w:rsidR="004009D1"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e/o aspiranti</w:t>
      </w:r>
      <w:r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imprenditori stranieri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il programma prevede l'opportunità di ospitare un giovane</w:t>
      </w:r>
      <w:r w:rsidR="004009D1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e/o aspiranti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imprenditore per condividere esperienze e lavorare insieme. L'impresa non deve sostenere nessuna spesa in quanto la persona che l'imprenditore ospita ottiene </w:t>
      </w:r>
      <w:r w:rsidR="004009D1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 rimborso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Lo scambio</w:t>
      </w:r>
      <w:r w:rsidR="004009D1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avrà una durata da valutare da caso in caso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4009D1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ed è finalizzato all’espansione del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propria azienda o </w:t>
      </w:r>
      <w:r w:rsidR="004009D1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ad 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entrare in altri mercati europei, </w:t>
      </w:r>
      <w:r w:rsidR="004009D1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prendendo 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contatto con altri imprenditori </w:t>
      </w:r>
      <w:r w:rsidR="004009D1"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sviluppando e sperimentando 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nuove idee.</w:t>
      </w:r>
    </w:p>
    <w:p w:rsidR="001B6A73" w:rsidRPr="00FD6521" w:rsidRDefault="001B6A73" w:rsidP="00745B28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45B28" w:rsidRPr="00FD6521" w:rsidRDefault="001B6A73" w:rsidP="00745B28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D65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iscrizioni e informazioni</w:t>
      </w:r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hyperlink r:id="rId11" w:history="1">
        <w:r w:rsidRPr="00FD6521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t-IT"/>
          </w:rPr>
          <w:t>http://www.formaper.it/mettersi-in-proprio/erasmus-giovani-imprenditori</w:t>
        </w:r>
      </w:hyperlink>
      <w:r w:rsidRPr="00FD652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886837" w:rsidRDefault="00886837" w:rsidP="008C7B54">
      <w:pPr>
        <w:spacing w:after="0" w:line="240" w:lineRule="auto"/>
        <w:ind w:left="-567" w:right="-568"/>
        <w:jc w:val="both"/>
        <w:rPr>
          <w:rFonts w:eastAsia="Times New Roman" w:cs="Times New Roman"/>
          <w:lang w:eastAsia="it-IT"/>
        </w:rPr>
      </w:pPr>
    </w:p>
    <w:p w:rsidR="00C67073" w:rsidRDefault="00C67073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br w:type="page"/>
      </w:r>
    </w:p>
    <w:p w:rsidR="00886837" w:rsidRDefault="00886837" w:rsidP="008C7B54">
      <w:pPr>
        <w:spacing w:after="0" w:line="240" w:lineRule="auto"/>
        <w:ind w:left="-567" w:right="-568"/>
        <w:jc w:val="both"/>
        <w:rPr>
          <w:rFonts w:eastAsia="Times New Roman" w:cs="Times New Roman"/>
          <w:lang w:eastAsia="it-IT"/>
        </w:rPr>
      </w:pPr>
    </w:p>
    <w:tbl>
      <w:tblPr>
        <w:tblStyle w:val="Grigliatabella"/>
        <w:tblW w:w="5305" w:type="pct"/>
        <w:tblInd w:w="-601" w:type="dxa"/>
        <w:tblLook w:val="04A0" w:firstRow="1" w:lastRow="0" w:firstColumn="1" w:lastColumn="0" w:noHBand="0" w:noVBand="1"/>
      </w:tblPr>
      <w:tblGrid>
        <w:gridCol w:w="396"/>
        <w:gridCol w:w="1726"/>
        <w:gridCol w:w="1700"/>
        <w:gridCol w:w="1980"/>
        <w:gridCol w:w="1006"/>
        <w:gridCol w:w="2550"/>
        <w:gridCol w:w="1097"/>
      </w:tblGrid>
      <w:tr w:rsidR="00886837" w:rsidRPr="006B5E63" w:rsidTr="00886837">
        <w:tc>
          <w:tcPr>
            <w:tcW w:w="190" w:type="pct"/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27" w:type="pct"/>
            <w:shd w:val="clear" w:color="auto" w:fill="EEECE1" w:themeFill="background2"/>
          </w:tcPr>
          <w:p w:rsidR="006B5E63" w:rsidRPr="006B5E63" w:rsidRDefault="006B5E63" w:rsidP="00D649B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HOST  </w:t>
            </w:r>
          </w:p>
        </w:tc>
        <w:tc>
          <w:tcPr>
            <w:tcW w:w="814" w:type="pct"/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HOST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Settore e competenze</w:t>
            </w:r>
          </w:p>
        </w:tc>
        <w:tc>
          <w:tcPr>
            <w:tcW w:w="948" w:type="pct"/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NEW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Settore e competenze</w:t>
            </w:r>
          </w:p>
        </w:tc>
        <w:tc>
          <w:tcPr>
            <w:tcW w:w="475" w:type="pct"/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Nazione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Destinaz</w:t>
            </w:r>
            <w:proofErr w:type="spellEnd"/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. Scambio</w:t>
            </w:r>
          </w:p>
        </w:tc>
        <w:tc>
          <w:tcPr>
            <w:tcW w:w="1220" w:type="pct"/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Obiettivo dello  scambio</w:t>
            </w:r>
          </w:p>
        </w:tc>
        <w:tc>
          <w:tcPr>
            <w:tcW w:w="525" w:type="pct"/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Residenza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Settore Moda 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Giornalista, designer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Slovenia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Opportunità di scambio nel settore moda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Milano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Settore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edilizia</w:t>
            </w:r>
            <w:proofErr w:type="spellEnd"/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Ingegnere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Albania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Acquisizione metodologia e scambio di opportunità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Milano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Settore eventi , teatro, cultura. Progetti internazionali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Esperta cooperazione internazionale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Francia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Scambio esperienze organizzazione eventi internazionali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Lecco</w:t>
            </w:r>
          </w:p>
        </w:tc>
      </w:tr>
      <w:tr w:rsidR="00886837" w:rsidRPr="006B5E63" w:rsidTr="00886837">
        <w:tc>
          <w:tcPr>
            <w:tcW w:w="190" w:type="pct"/>
            <w:tcBorders>
              <w:bottom w:val="single" w:sz="4" w:space="0" w:color="auto"/>
            </w:tcBorders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Consulenza aziendale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Esperta internazionalizzazione impresa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6B5E63" w:rsidRPr="006B5E63" w:rsidRDefault="006B5E63" w:rsidP="00A66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Slova</w:t>
            </w:r>
            <w:r w:rsidR="00A66517">
              <w:rPr>
                <w:rFonts w:ascii="Times New Roman" w:hAnsi="Times New Roman" w:cs="Times New Roman"/>
                <w:sz w:val="18"/>
                <w:szCs w:val="18"/>
              </w:rPr>
              <w:t>cch</w:t>
            </w: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Creazione in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Slovakia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 di filiale consulenza imprese x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internazionalizz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Roma</w:t>
            </w:r>
          </w:p>
        </w:tc>
      </w:tr>
      <w:tr w:rsidR="00886837" w:rsidRPr="006B5E63" w:rsidTr="00886837">
        <w:tc>
          <w:tcPr>
            <w:tcW w:w="190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6B5E63" w:rsidRPr="006B5E63" w:rsidRDefault="00D649B0" w:rsidP="00D649B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New Entrepreneur 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HOST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NEW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Formaper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Nazione</w:t>
            </w:r>
          </w:p>
        </w:tc>
        <w:tc>
          <w:tcPr>
            <w:tcW w:w="1220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b/>
                <w:sz w:val="18"/>
                <w:szCs w:val="18"/>
              </w:rPr>
              <w:t>Obiettivo dello scambio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fr-CD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Progettazione architettonica, Costruzioni  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Settore Turismo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Spagna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Analisi/creazione mercato in Italia - Spagna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Giulianova (TE)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Giornalismo digitale geografico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Giornalista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Rep. Ceca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Scambio  esperienze 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Creaz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. Attività in Italia.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Roma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Ricerca e sviluppo Cooperazione internazionale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Esperto relazioni internazionali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Belgio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Scambio esperienza in relazioni e cooperazione internazionale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Assisi (PG)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Fondazione, progetti internazionali sostenibilità, ambiente.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Esperto in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permacoltura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progettare e gestire sistemi agricoli sostenibili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Olanda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Scambio esperienze, progetti internazionali comuni.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Viola (CN)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Progettista e designer arredo interni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Designer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Svezia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Scambio esperienze e apertura studio design in Italia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Cilavegna (PV)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Festival internazionali, comunicazione.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Esperta comunicazione, filmati, documentari.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Germania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Scambio di esperienze sulla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Multifactory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  e organizzazione festival internazionali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Novate Milanese (MI)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Business </w:t>
            </w:r>
            <w:r w:rsidRPr="006B5E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development</w:t>
            </w: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, progetti europei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Esperta in scambi  internazionali e finanziamenti</w:t>
            </w:r>
          </w:p>
        </w:tc>
        <w:tc>
          <w:tcPr>
            <w:tcW w:w="475" w:type="pct"/>
          </w:tcPr>
          <w:p w:rsidR="006B5E63" w:rsidRPr="006B5E63" w:rsidRDefault="006B5E63" w:rsidP="00D64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Slova</w:t>
            </w:r>
            <w:r w:rsidR="00D649B0">
              <w:rPr>
                <w:rFonts w:ascii="Times New Roman" w:hAnsi="Times New Roman" w:cs="Times New Roman"/>
                <w:sz w:val="18"/>
                <w:szCs w:val="18"/>
              </w:rPr>
              <w:t>cch</w:t>
            </w: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Creazione di scambi tra Italia e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Slovakia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 per PMI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Bergamo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Organizzazione non profit internazionale. Progetti culturali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Esperta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open source networking platform,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progetti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multidisciplinari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Spagna</w:t>
            </w:r>
            <w:proofErr w:type="spellEnd"/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Sviluppo di una piattaforma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crowdsourcing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 e social networking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Acqui Terme </w:t>
            </w:r>
          </w:p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(AL)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ECEPAA European Centre for Economic, Policy Analysis and Affairs 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Sociologo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Università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Urbino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Belgio</w:t>
            </w:r>
            <w:proofErr w:type="spellEnd"/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Scambio esperienze nella progettazione di progetti europei area no profit. 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Jesi (AN)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Elicicoltura (allevamento lumache) formazione, allevamento e trasformazione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Esperta in story </w:t>
            </w:r>
            <w:proofErr w:type="spellStart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telling</w:t>
            </w:r>
            <w:proofErr w:type="spellEnd"/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 e grafica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Grecia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Scambio di esperienze gestionali e imprenditoriali e creazione di una agenzia di grafica a Milano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Roma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Skill alliances, international business development 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Esperto in siti e web designer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Olanda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Sviluppo di business e opportunità tra Italia e Olanda. Realizzazione di un sito di aste on line.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Viterbo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Studio di architettura 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Esperta in ristrutturazioni di immobili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Inghilterra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Scambio di esperienze e apertura filiale in Italia di studio architettura.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Chiavari (GE)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Impresa sociale NGO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Impresa sociale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Ungheria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Creazione di una realtà Teatrale in Italia con scambio di opportunità con Ungheria.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Milano</w:t>
            </w:r>
          </w:p>
        </w:tc>
      </w:tr>
      <w:tr w:rsidR="00886837" w:rsidRPr="006B5E63" w:rsidTr="00886837">
        <w:tc>
          <w:tcPr>
            <w:tcW w:w="19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7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 xml:space="preserve">Attività socioeducative artistiche e artigianali </w:t>
            </w:r>
          </w:p>
        </w:tc>
        <w:tc>
          <w:tcPr>
            <w:tcW w:w="948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Impresa sociale</w:t>
            </w:r>
          </w:p>
        </w:tc>
        <w:tc>
          <w:tcPr>
            <w:tcW w:w="47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Germania</w:t>
            </w:r>
          </w:p>
        </w:tc>
        <w:tc>
          <w:tcPr>
            <w:tcW w:w="1220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Scambi culturali per sviluppo congiunto nel business della impresa sociale.</w:t>
            </w:r>
          </w:p>
        </w:tc>
        <w:tc>
          <w:tcPr>
            <w:tcW w:w="525" w:type="pct"/>
          </w:tcPr>
          <w:p w:rsidR="006B5E63" w:rsidRPr="006B5E63" w:rsidRDefault="006B5E63" w:rsidP="00AF2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E63">
              <w:rPr>
                <w:rFonts w:ascii="Times New Roman" w:hAnsi="Times New Roman" w:cs="Times New Roman"/>
                <w:sz w:val="18"/>
                <w:szCs w:val="18"/>
              </w:rPr>
              <w:t>Biassono (MB)</w:t>
            </w:r>
          </w:p>
        </w:tc>
      </w:tr>
    </w:tbl>
    <w:p w:rsidR="006B5E63" w:rsidRPr="003B7D40" w:rsidRDefault="006B5E63" w:rsidP="00886837">
      <w:pPr>
        <w:spacing w:after="0" w:line="240" w:lineRule="auto"/>
        <w:ind w:left="-567" w:right="-568"/>
        <w:jc w:val="both"/>
        <w:rPr>
          <w:rFonts w:eastAsia="Times New Roman" w:cs="Times New Roman"/>
          <w:bCs/>
          <w:lang w:eastAsia="it-IT"/>
        </w:rPr>
      </w:pPr>
    </w:p>
    <w:sectPr w:rsidR="006B5E63" w:rsidRPr="003B7D40" w:rsidSect="00886837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4"/>
    <w:multiLevelType w:val="multilevel"/>
    <w:tmpl w:val="78EC8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4B"/>
    <w:rsid w:val="00002779"/>
    <w:rsid w:val="000234A9"/>
    <w:rsid w:val="00024655"/>
    <w:rsid w:val="00037206"/>
    <w:rsid w:val="00093203"/>
    <w:rsid w:val="00121FE4"/>
    <w:rsid w:val="00124543"/>
    <w:rsid w:val="001301BF"/>
    <w:rsid w:val="00136461"/>
    <w:rsid w:val="001467D1"/>
    <w:rsid w:val="001704A7"/>
    <w:rsid w:val="00170548"/>
    <w:rsid w:val="001B30FD"/>
    <w:rsid w:val="001B6467"/>
    <w:rsid w:val="001B6A73"/>
    <w:rsid w:val="001C1620"/>
    <w:rsid w:val="001C61FA"/>
    <w:rsid w:val="001D3423"/>
    <w:rsid w:val="0021719D"/>
    <w:rsid w:val="0022753C"/>
    <w:rsid w:val="00230FB5"/>
    <w:rsid w:val="00235110"/>
    <w:rsid w:val="00250096"/>
    <w:rsid w:val="002563F3"/>
    <w:rsid w:val="00276C8C"/>
    <w:rsid w:val="002A28E8"/>
    <w:rsid w:val="002A30C7"/>
    <w:rsid w:val="002A30DB"/>
    <w:rsid w:val="002A6475"/>
    <w:rsid w:val="002B0C39"/>
    <w:rsid w:val="002B760B"/>
    <w:rsid w:val="002C25FF"/>
    <w:rsid w:val="002D68E5"/>
    <w:rsid w:val="002E4CE7"/>
    <w:rsid w:val="002E67C0"/>
    <w:rsid w:val="002F12A9"/>
    <w:rsid w:val="003043D8"/>
    <w:rsid w:val="00306D59"/>
    <w:rsid w:val="00316793"/>
    <w:rsid w:val="00354E4E"/>
    <w:rsid w:val="00393C28"/>
    <w:rsid w:val="00397E69"/>
    <w:rsid w:val="003A2EAA"/>
    <w:rsid w:val="003B7D40"/>
    <w:rsid w:val="003E1C2B"/>
    <w:rsid w:val="004009D1"/>
    <w:rsid w:val="004027EE"/>
    <w:rsid w:val="00404167"/>
    <w:rsid w:val="00406B35"/>
    <w:rsid w:val="004265A8"/>
    <w:rsid w:val="00507564"/>
    <w:rsid w:val="00533E8D"/>
    <w:rsid w:val="00536361"/>
    <w:rsid w:val="00545276"/>
    <w:rsid w:val="0054545F"/>
    <w:rsid w:val="005552A7"/>
    <w:rsid w:val="00592AD0"/>
    <w:rsid w:val="005D7EFF"/>
    <w:rsid w:val="00600979"/>
    <w:rsid w:val="0061608C"/>
    <w:rsid w:val="00645190"/>
    <w:rsid w:val="00647672"/>
    <w:rsid w:val="006925A8"/>
    <w:rsid w:val="0069332D"/>
    <w:rsid w:val="006A3D90"/>
    <w:rsid w:val="006B5E63"/>
    <w:rsid w:val="006C12D9"/>
    <w:rsid w:val="006D273D"/>
    <w:rsid w:val="00745B28"/>
    <w:rsid w:val="00747D89"/>
    <w:rsid w:val="0078446E"/>
    <w:rsid w:val="007907E1"/>
    <w:rsid w:val="007936E0"/>
    <w:rsid w:val="007C2668"/>
    <w:rsid w:val="007D01A9"/>
    <w:rsid w:val="007F28E5"/>
    <w:rsid w:val="008005D8"/>
    <w:rsid w:val="00805AC9"/>
    <w:rsid w:val="00850594"/>
    <w:rsid w:val="008532B6"/>
    <w:rsid w:val="008657AD"/>
    <w:rsid w:val="008736D0"/>
    <w:rsid w:val="008849E6"/>
    <w:rsid w:val="00886837"/>
    <w:rsid w:val="008A0156"/>
    <w:rsid w:val="008B5C5F"/>
    <w:rsid w:val="008C5B79"/>
    <w:rsid w:val="008C7B54"/>
    <w:rsid w:val="008E0A41"/>
    <w:rsid w:val="008F0DD8"/>
    <w:rsid w:val="008F1E1C"/>
    <w:rsid w:val="008F2F4B"/>
    <w:rsid w:val="008F40B2"/>
    <w:rsid w:val="00974A70"/>
    <w:rsid w:val="00986CB6"/>
    <w:rsid w:val="009957A0"/>
    <w:rsid w:val="009970A7"/>
    <w:rsid w:val="009970F6"/>
    <w:rsid w:val="00A03355"/>
    <w:rsid w:val="00A04712"/>
    <w:rsid w:val="00A13A5C"/>
    <w:rsid w:val="00A15E41"/>
    <w:rsid w:val="00A5418D"/>
    <w:rsid w:val="00A57408"/>
    <w:rsid w:val="00A66517"/>
    <w:rsid w:val="00A740AE"/>
    <w:rsid w:val="00A76F78"/>
    <w:rsid w:val="00A84993"/>
    <w:rsid w:val="00AB59E1"/>
    <w:rsid w:val="00AB6173"/>
    <w:rsid w:val="00AF5951"/>
    <w:rsid w:val="00BC51A9"/>
    <w:rsid w:val="00BD2031"/>
    <w:rsid w:val="00BE70D0"/>
    <w:rsid w:val="00BF229C"/>
    <w:rsid w:val="00C408FB"/>
    <w:rsid w:val="00C44955"/>
    <w:rsid w:val="00C63BF9"/>
    <w:rsid w:val="00C649C7"/>
    <w:rsid w:val="00C64F9A"/>
    <w:rsid w:val="00C67073"/>
    <w:rsid w:val="00C95754"/>
    <w:rsid w:val="00CB227A"/>
    <w:rsid w:val="00CC3A09"/>
    <w:rsid w:val="00CC7D64"/>
    <w:rsid w:val="00CE52EF"/>
    <w:rsid w:val="00CF171B"/>
    <w:rsid w:val="00D22050"/>
    <w:rsid w:val="00D5527F"/>
    <w:rsid w:val="00D649B0"/>
    <w:rsid w:val="00D67D8A"/>
    <w:rsid w:val="00D94EB4"/>
    <w:rsid w:val="00DB730C"/>
    <w:rsid w:val="00DD7C4C"/>
    <w:rsid w:val="00E07B92"/>
    <w:rsid w:val="00E60C36"/>
    <w:rsid w:val="00E66D8C"/>
    <w:rsid w:val="00E70275"/>
    <w:rsid w:val="00E80E58"/>
    <w:rsid w:val="00E85EFE"/>
    <w:rsid w:val="00E94BF5"/>
    <w:rsid w:val="00EC597D"/>
    <w:rsid w:val="00EF5BB5"/>
    <w:rsid w:val="00EF658B"/>
    <w:rsid w:val="00F141F8"/>
    <w:rsid w:val="00F238AA"/>
    <w:rsid w:val="00F55422"/>
    <w:rsid w:val="00F73365"/>
    <w:rsid w:val="00F74B8F"/>
    <w:rsid w:val="00F95A3D"/>
    <w:rsid w:val="00F9612E"/>
    <w:rsid w:val="00F978DC"/>
    <w:rsid w:val="00FA258C"/>
    <w:rsid w:val="00FC4283"/>
    <w:rsid w:val="00FC4843"/>
    <w:rsid w:val="00FC4E41"/>
    <w:rsid w:val="00FD6521"/>
    <w:rsid w:val="00FD6F77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7E6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5754"/>
    <w:rPr>
      <w:b/>
      <w:bCs/>
    </w:rPr>
  </w:style>
  <w:style w:type="character" w:customStyle="1" w:styleId="apple-converted-space">
    <w:name w:val="apple-converted-space"/>
    <w:basedOn w:val="Carpredefinitoparagrafo"/>
    <w:rsid w:val="00C95754"/>
  </w:style>
  <w:style w:type="table" w:styleId="Grigliatabella">
    <w:name w:val="Table Grid"/>
    <w:basedOn w:val="Tabellanormale"/>
    <w:uiPriority w:val="59"/>
    <w:rsid w:val="006B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7E6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5754"/>
    <w:rPr>
      <w:b/>
      <w:bCs/>
    </w:rPr>
  </w:style>
  <w:style w:type="character" w:customStyle="1" w:styleId="apple-converted-space">
    <w:name w:val="apple-converted-space"/>
    <w:basedOn w:val="Carpredefinitoparagrafo"/>
    <w:rsid w:val="00C95754"/>
  </w:style>
  <w:style w:type="table" w:styleId="Grigliatabella">
    <w:name w:val="Table Grid"/>
    <w:basedOn w:val="Tabellanormale"/>
    <w:uiPriority w:val="59"/>
    <w:rsid w:val="006B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maper.it/mettersi-in-proprio/erasmus-giovani-imprenditor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rasmus-entrepreneur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ap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C717-57B5-4A0B-BFCD-F7F69F7F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Murgia</dc:creator>
  <cp:lastModifiedBy>Antonella Patrizia Barberis</cp:lastModifiedBy>
  <cp:revision>3</cp:revision>
  <cp:lastPrinted>2016-05-31T14:20:00Z</cp:lastPrinted>
  <dcterms:created xsi:type="dcterms:W3CDTF">2016-05-31T14:18:00Z</dcterms:created>
  <dcterms:modified xsi:type="dcterms:W3CDTF">2016-05-31T14:38:00Z</dcterms:modified>
</cp:coreProperties>
</file>